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DA" w:rsidRPr="00940BF5" w:rsidRDefault="007206DA" w:rsidP="0072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0BF5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7206DA" w:rsidRPr="00940BF5" w:rsidRDefault="007206DA" w:rsidP="00720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0BF5">
        <w:rPr>
          <w:rFonts w:ascii="Times New Roman" w:hAnsi="Times New Roman" w:cs="Times New Roman"/>
          <w:b/>
          <w:sz w:val="16"/>
          <w:szCs w:val="16"/>
        </w:rPr>
        <w:t>ОБ ОБЯЗАТЕЛЬНОМ ПЕНСИОННОМ СТРАХОВАНИИ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391"/>
        <w:gridCol w:w="1083"/>
        <w:gridCol w:w="2217"/>
      </w:tblGrid>
      <w:tr w:rsidR="009964FC" w:rsidRPr="00940BF5" w:rsidTr="009964FC">
        <w:tc>
          <w:tcPr>
            <w:tcW w:w="2403" w:type="dxa"/>
          </w:tcPr>
          <w:p w:rsidR="009964FC" w:rsidRPr="00940BF5" w:rsidRDefault="009964FC" w:rsidP="00720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dxa"/>
          </w:tcPr>
          <w:p w:rsidR="009964FC" w:rsidRPr="00940BF5" w:rsidRDefault="009964FC" w:rsidP="00720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BF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964FC" w:rsidRPr="00940BF5" w:rsidRDefault="009964FC" w:rsidP="00996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0" w:type="dxa"/>
          </w:tcPr>
          <w:p w:rsidR="009964FC" w:rsidRPr="00940BF5" w:rsidRDefault="009964FC" w:rsidP="00720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964FC" w:rsidRPr="00940BF5" w:rsidRDefault="009964FC" w:rsidP="0072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1798"/>
        <w:gridCol w:w="1845"/>
      </w:tblGrid>
      <w:tr w:rsidR="00275CB4" w:rsidRPr="00940BF5" w:rsidTr="00E80E61">
        <w:tc>
          <w:tcPr>
            <w:tcW w:w="2295" w:type="dxa"/>
          </w:tcPr>
          <w:p w:rsidR="00275CB4" w:rsidRPr="00940BF5" w:rsidRDefault="00275CB4" w:rsidP="00441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275CB4" w:rsidRPr="00940BF5" w:rsidRDefault="00275CB4" w:rsidP="004E6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75CB4" w:rsidRPr="00940BF5" w:rsidRDefault="00275CB4" w:rsidP="005D0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0B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г. </w:t>
            </w:r>
            <w:r w:rsidR="005D02A1" w:rsidRPr="00940BF5">
              <w:rPr>
                <w:rFonts w:ascii="Times New Roman" w:hAnsi="Times New Roman" w:cs="Times New Roman"/>
                <w:b/>
                <w:sz w:val="14"/>
                <w:szCs w:val="14"/>
              </w:rPr>
              <w:t>Москва</w:t>
            </w:r>
          </w:p>
        </w:tc>
      </w:tr>
    </w:tbl>
    <w:p w:rsidR="0072305D" w:rsidRPr="00940BF5" w:rsidRDefault="00B468D0" w:rsidP="00172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BF5">
        <w:rPr>
          <w:rFonts w:ascii="Times New Roman" w:hAnsi="Times New Roman" w:cs="Times New Roman"/>
          <w:sz w:val="12"/>
          <w:szCs w:val="12"/>
        </w:rPr>
        <w:t xml:space="preserve">(дата заключения </w:t>
      </w:r>
      <w:proofErr w:type="gramStart"/>
      <w:r w:rsidRPr="00940BF5">
        <w:rPr>
          <w:rFonts w:ascii="Times New Roman" w:hAnsi="Times New Roman" w:cs="Times New Roman"/>
          <w:sz w:val="12"/>
          <w:szCs w:val="12"/>
        </w:rPr>
        <w:t>договора)</w:t>
      </w:r>
      <w:r w:rsidRPr="00940BF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940BF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C517A" w:rsidRPr="00940BF5">
        <w:rPr>
          <w:rFonts w:ascii="Times New Roman" w:hAnsi="Times New Roman" w:cs="Times New Roman"/>
          <w:sz w:val="16"/>
          <w:szCs w:val="16"/>
        </w:rPr>
        <w:tab/>
      </w:r>
      <w:r w:rsidR="00EC517A" w:rsidRPr="00940BF5">
        <w:rPr>
          <w:rFonts w:ascii="Times New Roman" w:hAnsi="Times New Roman" w:cs="Times New Roman"/>
          <w:sz w:val="16"/>
          <w:szCs w:val="16"/>
        </w:rPr>
        <w:tab/>
      </w:r>
      <w:r w:rsidRPr="00940BF5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</w:p>
    <w:p w:rsidR="0072305D" w:rsidRPr="00940BF5" w:rsidRDefault="0072305D" w:rsidP="0072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05D" w:rsidRPr="00940BF5" w:rsidRDefault="007206DA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Акционерное общество "Негосударственный пенсионный фонд "Гефест", (сокращенное наименование – АО «НПФ «Гефест»), </w:t>
      </w:r>
      <w:r w:rsidR="00B468D0" w:rsidRPr="00940BF5">
        <w:rPr>
          <w:rFonts w:ascii="Times New Roman" w:hAnsi="Times New Roman" w:cs="Times New Roman"/>
          <w:sz w:val="14"/>
          <w:szCs w:val="14"/>
        </w:rPr>
        <w:t xml:space="preserve">(далее  -  </w:t>
      </w:r>
      <w:r w:rsidR="00CE0F0C" w:rsidRPr="00940BF5">
        <w:rPr>
          <w:rFonts w:ascii="Times New Roman" w:hAnsi="Times New Roman" w:cs="Times New Roman"/>
          <w:sz w:val="14"/>
          <w:szCs w:val="14"/>
        </w:rPr>
        <w:t>Ф</w:t>
      </w:r>
      <w:r w:rsidR="00B468D0" w:rsidRPr="00940BF5">
        <w:rPr>
          <w:rFonts w:ascii="Times New Roman" w:hAnsi="Times New Roman" w:cs="Times New Roman"/>
          <w:sz w:val="14"/>
          <w:szCs w:val="14"/>
        </w:rPr>
        <w:t>онд),  осуществляющий деятельность по обязательному пенсионному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B468D0" w:rsidRPr="00940BF5">
        <w:rPr>
          <w:rFonts w:ascii="Times New Roman" w:hAnsi="Times New Roman" w:cs="Times New Roman"/>
          <w:sz w:val="14"/>
          <w:szCs w:val="14"/>
        </w:rPr>
        <w:t xml:space="preserve">страхованию, действующий на основании лицензии от </w:t>
      </w:r>
      <w:r w:rsidR="00203032" w:rsidRPr="00940BF5">
        <w:rPr>
          <w:rFonts w:ascii="Times New Roman" w:hAnsi="Times New Roman" w:cs="Times New Roman"/>
          <w:sz w:val="14"/>
          <w:szCs w:val="14"/>
        </w:rPr>
        <w:t>«26» апреля 2004 г. №12/2</w:t>
      </w:r>
      <w:r w:rsidR="00B468D0" w:rsidRPr="00940BF5">
        <w:rPr>
          <w:rFonts w:ascii="Times New Roman" w:hAnsi="Times New Roman" w:cs="Times New Roman"/>
          <w:sz w:val="14"/>
          <w:szCs w:val="14"/>
        </w:rPr>
        <w:t xml:space="preserve"> на осуществление деятельности по пенсионному обеспечению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B468D0" w:rsidRPr="00940BF5">
        <w:rPr>
          <w:rFonts w:ascii="Times New Roman" w:hAnsi="Times New Roman" w:cs="Times New Roman"/>
          <w:sz w:val="14"/>
          <w:szCs w:val="14"/>
        </w:rPr>
        <w:t xml:space="preserve">и пенсионному страхованию, выданной 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Инспекцией негосударственных пенсионных фондов при Министерстве труда и социального развития Российской Федерации, </w:t>
      </w:r>
      <w:r w:rsidR="00B468D0" w:rsidRPr="00940BF5">
        <w:rPr>
          <w:rFonts w:ascii="Times New Roman" w:hAnsi="Times New Roman" w:cs="Times New Roman"/>
          <w:sz w:val="14"/>
          <w:szCs w:val="14"/>
        </w:rPr>
        <w:t>зарегистрировавший  в Банке России страховые правила фонда  и  вступивший в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B468D0" w:rsidRPr="00940BF5">
        <w:rPr>
          <w:rFonts w:ascii="Times New Roman" w:hAnsi="Times New Roman" w:cs="Times New Roman"/>
          <w:sz w:val="14"/>
          <w:szCs w:val="14"/>
        </w:rPr>
        <w:t>систе</w:t>
      </w:r>
      <w:r w:rsidR="00957D78" w:rsidRPr="00940BF5">
        <w:rPr>
          <w:rFonts w:ascii="Times New Roman" w:hAnsi="Times New Roman" w:cs="Times New Roman"/>
          <w:sz w:val="14"/>
          <w:szCs w:val="14"/>
        </w:rPr>
        <w:t xml:space="preserve">му гарантирования прав </w:t>
      </w:r>
      <w:r w:rsidR="00B468D0" w:rsidRPr="00940BF5">
        <w:rPr>
          <w:rFonts w:ascii="Times New Roman" w:hAnsi="Times New Roman" w:cs="Times New Roman"/>
          <w:sz w:val="14"/>
          <w:szCs w:val="14"/>
        </w:rPr>
        <w:t>за</w:t>
      </w:r>
      <w:r w:rsidR="00957D78" w:rsidRPr="00940BF5">
        <w:rPr>
          <w:rFonts w:ascii="Times New Roman" w:hAnsi="Times New Roman" w:cs="Times New Roman"/>
          <w:sz w:val="14"/>
          <w:szCs w:val="14"/>
        </w:rPr>
        <w:t xml:space="preserve">страхованных лиц, в </w:t>
      </w:r>
      <w:r w:rsidR="00B468D0" w:rsidRPr="00940BF5">
        <w:rPr>
          <w:rFonts w:ascii="Times New Roman" w:hAnsi="Times New Roman" w:cs="Times New Roman"/>
          <w:sz w:val="14"/>
          <w:szCs w:val="14"/>
        </w:rPr>
        <w:t>лице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5D02A1" w:rsidRPr="00940BF5">
        <w:rPr>
          <w:rFonts w:ascii="Times New Roman" w:hAnsi="Times New Roman" w:cs="Times New Roman"/>
          <w:sz w:val="14"/>
          <w:szCs w:val="14"/>
        </w:rPr>
        <w:t>Президента</w:t>
      </w:r>
      <w:r w:rsidR="00957D78" w:rsidRPr="00940BF5">
        <w:rPr>
          <w:rFonts w:ascii="Times New Roman" w:hAnsi="Times New Roman" w:cs="Times New Roman"/>
          <w:sz w:val="14"/>
          <w:szCs w:val="14"/>
        </w:rPr>
        <w:t xml:space="preserve"> Фонда </w:t>
      </w:r>
      <w:r w:rsidR="005D02A1" w:rsidRPr="00940BF5">
        <w:rPr>
          <w:rFonts w:ascii="Times New Roman" w:hAnsi="Times New Roman" w:cs="Times New Roman"/>
          <w:sz w:val="14"/>
          <w:szCs w:val="14"/>
        </w:rPr>
        <w:t>Масюк Ирины Борисовны</w:t>
      </w:r>
      <w:r w:rsidR="00957D78" w:rsidRPr="00940BF5">
        <w:rPr>
          <w:rFonts w:ascii="Times New Roman" w:hAnsi="Times New Roman" w:cs="Times New Roman"/>
          <w:sz w:val="14"/>
          <w:szCs w:val="14"/>
        </w:rPr>
        <w:t xml:space="preserve"> действующе</w:t>
      </w:r>
      <w:r w:rsidR="005D02A1" w:rsidRPr="00940BF5">
        <w:rPr>
          <w:rFonts w:ascii="Times New Roman" w:hAnsi="Times New Roman" w:cs="Times New Roman"/>
          <w:sz w:val="14"/>
          <w:szCs w:val="14"/>
        </w:rPr>
        <w:t>й</w:t>
      </w:r>
      <w:r w:rsidR="00957D78" w:rsidRPr="00940BF5">
        <w:rPr>
          <w:rFonts w:ascii="Times New Roman" w:hAnsi="Times New Roman" w:cs="Times New Roman"/>
          <w:sz w:val="14"/>
          <w:szCs w:val="14"/>
        </w:rPr>
        <w:t xml:space="preserve"> на основании </w:t>
      </w:r>
      <w:r w:rsidR="005D02A1" w:rsidRPr="00940BF5">
        <w:rPr>
          <w:rFonts w:ascii="Times New Roman" w:hAnsi="Times New Roman" w:cs="Times New Roman"/>
          <w:sz w:val="14"/>
          <w:szCs w:val="14"/>
        </w:rPr>
        <w:t>Устава</w:t>
      </w:r>
      <w:r w:rsidR="00957D78" w:rsidRPr="00940BF5">
        <w:rPr>
          <w:rFonts w:ascii="Times New Roman" w:hAnsi="Times New Roman" w:cs="Times New Roman"/>
          <w:sz w:val="14"/>
          <w:szCs w:val="14"/>
        </w:rPr>
        <w:t>,</w:t>
      </w:r>
      <w:r w:rsidR="00B468D0" w:rsidRPr="00940BF5">
        <w:rPr>
          <w:rFonts w:ascii="Times New Roman" w:hAnsi="Times New Roman" w:cs="Times New Roman"/>
          <w:sz w:val="14"/>
          <w:szCs w:val="14"/>
        </w:rPr>
        <w:t xml:space="preserve"> с</w:t>
      </w:r>
      <w:r w:rsidR="00957D78" w:rsidRPr="00940BF5">
        <w:rPr>
          <w:rFonts w:ascii="Times New Roman" w:hAnsi="Times New Roman" w:cs="Times New Roman"/>
          <w:sz w:val="14"/>
          <w:szCs w:val="14"/>
        </w:rPr>
        <w:t xml:space="preserve"> одной </w:t>
      </w:r>
      <w:r w:rsidR="00B468D0" w:rsidRPr="00940BF5">
        <w:rPr>
          <w:rFonts w:ascii="Times New Roman" w:hAnsi="Times New Roman" w:cs="Times New Roman"/>
          <w:sz w:val="14"/>
          <w:szCs w:val="14"/>
        </w:rPr>
        <w:t>стороны, и</w:t>
      </w:r>
    </w:p>
    <w:tbl>
      <w:tblPr>
        <w:tblW w:w="52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13"/>
        <w:gridCol w:w="3319"/>
      </w:tblGrid>
      <w:tr w:rsidR="00940BF5" w:rsidRPr="00940BF5" w:rsidTr="00940BF5">
        <w:trPr>
          <w:trHeight w:val="94"/>
        </w:trPr>
        <w:tc>
          <w:tcPr>
            <w:tcW w:w="5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0BF5" w:rsidRPr="00940BF5" w:rsidRDefault="00940BF5" w:rsidP="00EC51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203032" w:rsidRPr="00940BF5" w:rsidTr="00940BF5">
        <w:trPr>
          <w:trHeight w:val="84"/>
        </w:trPr>
        <w:tc>
          <w:tcPr>
            <w:tcW w:w="52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3032" w:rsidRPr="00940BF5" w:rsidRDefault="00C4508F" w:rsidP="00CA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203032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="00203032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ф.и.о.</w:t>
            </w:r>
            <w:proofErr w:type="spellEnd"/>
            <w:r w:rsidR="00203032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застрахованного лица)</w:t>
            </w:r>
          </w:p>
        </w:tc>
      </w:tr>
      <w:tr w:rsidR="00203032" w:rsidRPr="00940BF5" w:rsidTr="00940BF5">
        <w:trPr>
          <w:trHeight w:val="108"/>
        </w:trPr>
        <w:tc>
          <w:tcPr>
            <w:tcW w:w="5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3032" w:rsidRPr="00940BF5" w:rsidRDefault="00203032" w:rsidP="00940B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203032" w:rsidRPr="00940BF5" w:rsidTr="00940BF5">
        <w:trPr>
          <w:trHeight w:val="60"/>
        </w:trPr>
        <w:tc>
          <w:tcPr>
            <w:tcW w:w="52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3032" w:rsidRPr="00940BF5" w:rsidRDefault="00C4508F" w:rsidP="00C450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203032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 w:rsidR="00203032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ф.и.о.</w:t>
            </w:r>
            <w:proofErr w:type="spellEnd"/>
            <w:r w:rsidR="00203032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застрахованного лица при рождении)</w:t>
            </w:r>
          </w:p>
        </w:tc>
      </w:tr>
      <w:tr w:rsidR="00203032" w:rsidRPr="00940BF5" w:rsidTr="00940BF5">
        <w:trPr>
          <w:trHeight w:val="135"/>
        </w:trPr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203032" w:rsidRPr="00940BF5" w:rsidRDefault="00203032" w:rsidP="002030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203032" w:rsidRPr="00940BF5" w:rsidRDefault="00203032" w:rsidP="002030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203032" w:rsidRPr="00940BF5" w:rsidRDefault="00203032" w:rsidP="00DD48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203032" w:rsidRPr="00940BF5" w:rsidTr="00940BF5">
        <w:trPr>
          <w:trHeight w:val="59"/>
        </w:trPr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3032" w:rsidRPr="00940BF5" w:rsidRDefault="00940BF5" w:rsidP="00CA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(дата рождения)</w:t>
            </w:r>
          </w:p>
        </w:tc>
        <w:tc>
          <w:tcPr>
            <w:tcW w:w="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3032" w:rsidRPr="00940BF5" w:rsidRDefault="00CA0539" w:rsidP="00CA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940BF5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Start"/>
            <w:r w:rsidR="00940BF5"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пол)</w:t>
            </w: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</w:t>
            </w:r>
            <w:proofErr w:type="gramEnd"/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</w:t>
            </w:r>
          </w:p>
        </w:tc>
        <w:tc>
          <w:tcPr>
            <w:tcW w:w="33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3032" w:rsidRPr="00940BF5" w:rsidRDefault="00CA0539" w:rsidP="00CA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(СНИЛС)</w:t>
            </w:r>
          </w:p>
        </w:tc>
      </w:tr>
      <w:tr w:rsidR="00203032" w:rsidRPr="00940BF5" w:rsidTr="00940BF5">
        <w:trPr>
          <w:trHeight w:val="161"/>
        </w:trPr>
        <w:tc>
          <w:tcPr>
            <w:tcW w:w="5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3032" w:rsidRPr="00940BF5" w:rsidRDefault="00203032" w:rsidP="002030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203032" w:rsidRPr="00940BF5" w:rsidTr="00940BF5">
        <w:trPr>
          <w:trHeight w:val="96"/>
        </w:trPr>
        <w:tc>
          <w:tcPr>
            <w:tcW w:w="529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3032" w:rsidRPr="00940BF5" w:rsidRDefault="00CA0539" w:rsidP="00CA05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Start"/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место  рождения</w:t>
            </w:r>
            <w:proofErr w:type="gramEnd"/>
            <w:r w:rsidRPr="00940B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</w:tbl>
    <w:p w:rsidR="0072305D" w:rsidRPr="00940BF5" w:rsidRDefault="00B468D0" w:rsidP="0072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(</w:t>
      </w:r>
      <w:r w:rsidR="00C4508F" w:rsidRPr="00940BF5">
        <w:rPr>
          <w:rFonts w:ascii="Times New Roman" w:hAnsi="Times New Roman" w:cs="Times New Roman"/>
          <w:sz w:val="14"/>
          <w:szCs w:val="14"/>
        </w:rPr>
        <w:t>далее -</w:t>
      </w:r>
      <w:r w:rsidRPr="00940BF5">
        <w:rPr>
          <w:rFonts w:ascii="Times New Roman" w:hAnsi="Times New Roman" w:cs="Times New Roman"/>
          <w:sz w:val="14"/>
          <w:szCs w:val="14"/>
        </w:rPr>
        <w:t xml:space="preserve">  </w:t>
      </w:r>
      <w:r w:rsidR="00C4508F" w:rsidRPr="00940BF5">
        <w:rPr>
          <w:rFonts w:ascii="Times New Roman" w:hAnsi="Times New Roman" w:cs="Times New Roman"/>
          <w:sz w:val="14"/>
          <w:szCs w:val="14"/>
        </w:rPr>
        <w:t xml:space="preserve">застрахованное лицо) с другой </w:t>
      </w:r>
      <w:r w:rsidR="00CA0539" w:rsidRPr="00940BF5">
        <w:rPr>
          <w:rFonts w:ascii="Times New Roman" w:hAnsi="Times New Roman" w:cs="Times New Roman"/>
          <w:sz w:val="14"/>
          <w:szCs w:val="14"/>
        </w:rPr>
        <w:t>стороны (</w:t>
      </w:r>
      <w:r w:rsidRPr="00940BF5">
        <w:rPr>
          <w:rFonts w:ascii="Times New Roman" w:hAnsi="Times New Roman" w:cs="Times New Roman"/>
          <w:sz w:val="14"/>
          <w:szCs w:val="14"/>
        </w:rPr>
        <w:t>далее при совместном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CA0539" w:rsidRPr="00940BF5">
        <w:rPr>
          <w:rFonts w:ascii="Times New Roman" w:hAnsi="Times New Roman" w:cs="Times New Roman"/>
          <w:sz w:val="14"/>
          <w:szCs w:val="14"/>
        </w:rPr>
        <w:t>упоминании -</w:t>
      </w:r>
      <w:r w:rsidRPr="00940BF5">
        <w:rPr>
          <w:rFonts w:ascii="Times New Roman" w:hAnsi="Times New Roman" w:cs="Times New Roman"/>
          <w:sz w:val="14"/>
          <w:szCs w:val="14"/>
        </w:rPr>
        <w:t xml:space="preserve">  </w:t>
      </w:r>
      <w:r w:rsidR="00CA0539" w:rsidRPr="00940BF5">
        <w:rPr>
          <w:rFonts w:ascii="Times New Roman" w:hAnsi="Times New Roman" w:cs="Times New Roman"/>
          <w:sz w:val="14"/>
          <w:szCs w:val="14"/>
        </w:rPr>
        <w:t>стороны) в</w:t>
      </w:r>
      <w:r w:rsidRPr="00940BF5">
        <w:rPr>
          <w:rFonts w:ascii="Times New Roman" w:hAnsi="Times New Roman" w:cs="Times New Roman"/>
          <w:sz w:val="14"/>
          <w:szCs w:val="14"/>
        </w:rPr>
        <w:t xml:space="preserve"> соответствии с Федеральным </w:t>
      </w:r>
      <w:hyperlink r:id="rId5" w:history="1">
        <w:r w:rsidRPr="006A084F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от 7 мая 1998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5D02A1" w:rsidRPr="00940BF5">
        <w:rPr>
          <w:rFonts w:ascii="Times New Roman" w:hAnsi="Times New Roman" w:cs="Times New Roman"/>
          <w:sz w:val="14"/>
          <w:szCs w:val="14"/>
        </w:rPr>
        <w:t>года N 75</w:t>
      </w:r>
      <w:r w:rsidRPr="00940BF5">
        <w:rPr>
          <w:rFonts w:ascii="Times New Roman" w:hAnsi="Times New Roman" w:cs="Times New Roman"/>
          <w:sz w:val="14"/>
          <w:szCs w:val="14"/>
        </w:rPr>
        <w:t xml:space="preserve">-ФЗ "О негосударственных пенсионных фондах" (далее </w:t>
      </w:r>
      <w:r w:rsidR="00203032" w:rsidRPr="00940BF5">
        <w:rPr>
          <w:rFonts w:ascii="Times New Roman" w:hAnsi="Times New Roman" w:cs="Times New Roman"/>
          <w:sz w:val="14"/>
          <w:szCs w:val="14"/>
        </w:rPr>
        <w:t>–</w:t>
      </w:r>
      <w:r w:rsidRPr="00940BF5">
        <w:rPr>
          <w:rFonts w:ascii="Times New Roman" w:hAnsi="Times New Roman" w:cs="Times New Roman"/>
          <w:sz w:val="14"/>
          <w:szCs w:val="14"/>
        </w:rPr>
        <w:t xml:space="preserve"> Федеральный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="005D02A1" w:rsidRPr="00940BF5">
        <w:rPr>
          <w:rFonts w:ascii="Times New Roman" w:hAnsi="Times New Roman" w:cs="Times New Roman"/>
          <w:sz w:val="14"/>
          <w:szCs w:val="14"/>
        </w:rPr>
        <w:t>закон «</w:t>
      </w:r>
      <w:r w:rsidRPr="00940BF5">
        <w:rPr>
          <w:rFonts w:ascii="Times New Roman" w:hAnsi="Times New Roman" w:cs="Times New Roman"/>
          <w:sz w:val="14"/>
          <w:szCs w:val="14"/>
        </w:rPr>
        <w:t>О негосударственных пенсионных фондах") заключили настоящий договор</w:t>
      </w:r>
      <w:r w:rsidR="00203032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>о нижеследующем.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I. Предмет договора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1.1. Фонд в соответствии с законодательством Российской Федерации, страховыми правилами фонда и настоящим договором обязуется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II. Взаимодействие сторон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2.1. Застрахованное лицо имеет право: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а) требовать от фонда исполнения обязательств в соответствии с условиями настоящего договора;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б) получать накопительную пенсию и (или) срочную пенсионную выплату в соответствии с Федеральным </w:t>
      </w:r>
      <w:hyperlink r:id="rId6" w:history="1">
        <w:r w:rsidRPr="006A084F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негосударственных пенсионных фондах", Федеральным </w:t>
      </w:r>
      <w:hyperlink r:id="rId7" w:history="1">
        <w:r w:rsidRPr="006A084F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от 28 декабря 2013 года N 424-ФЗ "О накопительной пенсии" (Собрание законодательства Российской Федерации, 2013, N 52, ст. 6989; 2018, N 41, ст. 6190) (далее - Федеральный закон "О накопительной пенсии") и Федеральным </w:t>
      </w:r>
      <w:hyperlink r:id="rId8" w:history="1">
        <w:r w:rsidRPr="006A084F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от 30 ноября 2011 года N 360-ФЗ "О порядке финансирования выплат за счет средств пенсионных накоплений" (Собрание законодательства Российской Федерации, 2011, N 49, ст. 7038; 2018, N 41, ст. 6190) (далее - Федеральный закон "О порядке финансирования выплат за счет средств пенсионных накоплений"), страховыми правилами фонда и условиями настоящего договора при возникновении пенсионного основания;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в) в случаях, предусмотренных Федеральным </w:t>
      </w:r>
      <w:hyperlink r:id="rId9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порядке финансирования выплат за счет средств пенсионных накоплений", получать единовременную выплату;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г) получать от фонда информацию о наступлении гарантийного случая, предусмотренного Федеральным </w:t>
      </w:r>
      <w:hyperlink r:id="rId10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(Собрание законодательства Российской Федерации, 2013, N 52, ст. 6987; 2018, N 32, ст. 5115) (далее - Федеральный закон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накоплений");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д) получать по своему обращению способом, указанным им при обращении, бесплатно один раз в год в фонде информацию о состоянии своего пенсионного счета накопительной пенсии;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е) получать в фонде бесплатные консультации по вопросам обязательного пенсионного страхования, а также информацию о нормативных правовых актах Российской Федерации и нормативных актах Банка России в области обязательного пенсионного страхования;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ж) требовать от фонда перевода средств (части средств) материнского (семейного) капитала, направленных на формирование накопительной пенсии, с учетом результата их инвестирования, в Пенсионный фонд Российской Федерации в связи с отказом от направления средств (части средств) материнского (семейного) капитала на формирование накопительной пенсии;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з) защищать свои права, в том числе в судебном порядке;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и) осуществлять иные права застрахованного лица, не противоречащие законодательству Российской Федерации.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2.2. Застрахованное лицо обязано: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а) предъявлять в фонд содержащие достоверные сведения документы, являющиеся основанием для назначения и выплаты накопительной пенсии и (или) срочной пенсионной выплаты или единовременной выплаты;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б) сообщать в фонд обо всех изменениях, влияющих на выплату накопительной пенсии, срочную пенсионную выплату, единовременную выплату, выплаты правопреемникам;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в) соблюдать условия, установленные для назначения и выплаты накопительной пенсии и (или) срочной пенсионной выплаты или единовременной выплаты;</w:t>
      </w:r>
    </w:p>
    <w:p w:rsidR="005D02A1" w:rsidRPr="00940BF5" w:rsidRDefault="005D02A1" w:rsidP="005D02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г) в случае изменения персональных данных извещать Фонд о таких изменениях с приложением подтверждающих документов, в срок не позднее семи дней с даты таких изменений.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2.3. Фонд имеет право: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а) представлять интересы застрахованного лица перед страхователем;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б) получать вознаграждение в соответствии с Федеральным </w:t>
      </w:r>
      <w:hyperlink r:id="rId11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негосударственных пенсионных фондах";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в) осуществлять иные права, не противоречащие законодательству Российской Федерации.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2.4. Фонд обязан: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а) знакомить застрахованное лицо со своими страховыми правилами и со всеми вносимыми в них изменениями;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б) осуществлять учет сведений о застрахованном лице в форме ведения пенсионного счета накопительной пенсии, а также учет средств пенсионных накоплений;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в) бесплатно предоставлять один раз в год застрахованному лицу по его обращению способом, указанным им при обращении, информацию о состоянии его пенсионного счета накопительной пенсии и информацию о результатах инвестирования средств пенсионных накоплений, в том числе о суммах дополнительных страховых взносов на накопительную пенсию, взносов работодателя, взносов на </w:t>
      </w:r>
      <w:proofErr w:type="spellStart"/>
      <w:r w:rsidRPr="00940BF5">
        <w:rPr>
          <w:rFonts w:ascii="Times New Roman" w:hAnsi="Times New Roman" w:cs="Times New Roman"/>
          <w:sz w:val="14"/>
          <w:szCs w:val="14"/>
        </w:rPr>
        <w:t>софинансирование</w:t>
      </w:r>
      <w:proofErr w:type="spellEnd"/>
      <w:r w:rsidRPr="00940BF5">
        <w:rPr>
          <w:rFonts w:ascii="Times New Roman" w:hAnsi="Times New Roman" w:cs="Times New Roman"/>
          <w:sz w:val="14"/>
          <w:szCs w:val="14"/>
        </w:rPr>
        <w:t xml:space="preserve"> формирования пенсионных накоплений, средств (части средств) материнского (семейного) капитала, направленных на формирование накопительной пенсии, и о результатах их инвестирования, а также предоставлять застрахованному лицу информацию о видах выплат, финансируемых за счет средств пенсионных накоплений,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"Интернет", а также иным способом, в том числе почтовым отправлением);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г) при предоставлении информации о состоянии пенсионного счета накопительной пенсии застрахованного лица уведомлять его о наступлении гарантийного случая (гарантийных случаев), предусмотренного (предусмотренных) Федеральным </w:t>
      </w:r>
      <w:hyperlink r:id="rId12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в отношении его пенсионных накоплений, в течение отчетного и (или) текущего календарного года, а также об осуществленном в течение указанного периода гарантийном восполнении;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д) производить назначение, осуществлять корректировку размера и выплату застрахованному лицу накопительной пенсии и (или) срочной пенсионной выплаты или единовременной выплаты в соответствии с Федеральным </w:t>
      </w:r>
      <w:hyperlink r:id="rId13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негосударственных пенсионных фондах", Федеральным </w:t>
      </w:r>
      <w:hyperlink r:id="rId14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накопительной пенсии", Федеральным </w:t>
      </w:r>
      <w:hyperlink r:id="rId15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порядке финансирования выплат за счет средств пенсионных накоплений", страховыми правилами фонда и настоящим договором;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е) осуществлять выплаты правопреемникам застрахованного лица в порядке, установленном Федеральным </w:t>
      </w:r>
      <w:hyperlink r:id="rId16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негосударственных пенсионных фондах", Федеральным </w:t>
      </w:r>
      <w:hyperlink r:id="rId17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накопительной пенсии", страховыми правилами фонда и настоящим договором;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ж) передавать средства пенсионных накоплений в Пенсионный фонд Российской Федерации или другой негосударственный пенсионный фонд в случаях и объеме, предусмотренных Федеральным </w:t>
      </w:r>
      <w:hyperlink r:id="rId18" w:history="1">
        <w:r w:rsidRPr="00940BF5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"О негосударственных пенсионных фондах";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з) передавать средства (часть средств) материнского (семейного) капитала, направленные на формирование накопительной пенсии, с учетом результата их инвестирования, в Пенсионный фонд Российской Федерации в соответствии с уведомлением Пенсионного фонда Российской Федерации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и) предоставлять по требованию застрахованного лица по месту нахождения фонда и его обособленных подразделений документы и информацию, предусмотренные </w:t>
      </w:r>
      <w:hyperlink r:id="rId19" w:history="1">
        <w:r w:rsidRPr="00940BF5">
          <w:rPr>
            <w:rFonts w:ascii="Times New Roman" w:hAnsi="Times New Roman" w:cs="Times New Roman"/>
            <w:sz w:val="14"/>
            <w:szCs w:val="14"/>
          </w:rPr>
          <w:t>статьей 35.2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Федерального закона "О негосударственных пенсионных фондах";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к) бесплатно консультировать застрахованное лицо по вопросам обязательного пенсионного страхования и в случае обращения застрахованного лица информировать его о нормативных правовых актах Российской Федерации и нормативных актах Банка России в области обязательного пенсионного страхования;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л) не принимать в одностороннем порядке решения, нарушающие права застрахованного лица;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м) рассматривать обращения застрахованного лица по вопросам исполнения настоящего договора, за исключением обращений, предусмотренных </w:t>
      </w:r>
      <w:hyperlink r:id="rId20" w:history="1">
        <w:r w:rsidRPr="00940BF5">
          <w:rPr>
            <w:rFonts w:ascii="Times New Roman" w:hAnsi="Times New Roman" w:cs="Times New Roman"/>
            <w:sz w:val="14"/>
            <w:szCs w:val="14"/>
          </w:rPr>
          <w:t>подпунктом "д" пункта 2.1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и </w:t>
      </w:r>
      <w:hyperlink r:id="rId21" w:history="1">
        <w:r w:rsidRPr="00940BF5">
          <w:rPr>
            <w:rFonts w:ascii="Times New Roman" w:hAnsi="Times New Roman" w:cs="Times New Roman"/>
            <w:sz w:val="14"/>
            <w:szCs w:val="14"/>
          </w:rPr>
          <w:t>подпунктом "в"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настоящего пункта настоящего договора, в течение тридцати дней со дня поступления в фонд указанного обращения и сообщать застрахованному лицу о результатах его рассмотрения и принятом решении в письменной форме на бумажном носителе или в виде электронного документа по выбору застрахованного лица;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III. Пенсионные основания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3.1. Пенсионными основаниями для назначения и выплаты накопительной пенсии являются: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3.1.1. достижение возраста 60 лет (для мужчин) и возраста 55 лет (для женщин) при соблюдении условий для назначения страховой пенсии по старости, установленных Федеральным законом от 28 декабря 2013 года № 400-ФЗ «О страховых пенсиях» (далее – Федеральный закон «О страховых пенсиях») (наличие необходимого страхового стажа и установленной величины индивидуального пенсионного коэффициента);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3.1.2. для застрахованных лиц, указанных в части 1 статьи 30, статье 31, части 1 статьи 32, части 2 статьи 33 Федерального закона «О страховых пенсиях» – достижение возраста или наступление срока, определяемых в соответствии с Федеральным законом «О страховых пенсиях»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3.2. Срочная пенсионная выплата осуществляется застрахованным лицам, сформировавшим пенсионные накопления за счет дополнительных страховых взносов на накопительную пенсию, взносов работодателя, взносов на </w:t>
      </w:r>
      <w:proofErr w:type="spellStart"/>
      <w:r w:rsidRPr="00940BF5">
        <w:rPr>
          <w:rFonts w:ascii="Times New Roman" w:hAnsi="Times New Roman" w:cs="Times New Roman"/>
          <w:sz w:val="14"/>
          <w:szCs w:val="14"/>
        </w:rPr>
        <w:t>софинансирование</w:t>
      </w:r>
      <w:proofErr w:type="spellEnd"/>
      <w:r w:rsidRPr="00940BF5">
        <w:rPr>
          <w:rFonts w:ascii="Times New Roman" w:hAnsi="Times New Roman" w:cs="Times New Roman"/>
          <w:sz w:val="14"/>
          <w:szCs w:val="14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по достижении возраста 60 и 55 </w:t>
      </w:r>
      <w:r w:rsidRPr="00940BF5">
        <w:rPr>
          <w:rFonts w:ascii="Times New Roman" w:hAnsi="Times New Roman" w:cs="Times New Roman"/>
          <w:sz w:val="14"/>
          <w:szCs w:val="14"/>
        </w:rPr>
        <w:lastRenderedPageBreak/>
        <w:t>лет (соответственно мужчины и женщины) и при соблюдении условий, дающих право на страховую пенсию по старости (наличие необходимого страхового стажа и установленной величины индивидуального пенсионного коэффициента), а лицам, указанным в части 2 статьи 6 Федерального закона «О накопительной пенсии», - по достижении возраста или наступлении срока, определяемых в соответствии с Федеральным законом «О страховых пенсиях» по состоянию на 31 декабря 2018 года.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3.3. Единовременная выплата осуществляется: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3.3.1. застрахованным лицам, которые не приобрели право на получение накопительной пенсии в соответствии со статьей 6 Федерального закона «О накопительной пенсии», - по достижении возраста 60 и 55 лет (соответственно мужчины и женщины);</w:t>
      </w:r>
    </w:p>
    <w:p w:rsidR="00477046" w:rsidRPr="00940BF5" w:rsidRDefault="00477046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3.3.2. застрахованным 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законом «О страховых пенсиях», и размера накопительной пенсии, рассчитанного в соответствии с Федеральным законом «О накопительной пенсии», рассчитанных на дату назначения накопительной пенсии в соответствии с Федеральным законом «О накопительной пенсии», - по достижении возраста 60 и 55 лет (соответственно мужчины и женщины), а лицам, указанным в части 2 статьи 6 Федерального закона «О накопительной пенсии», - по достижении возраста или наступлении срока, определяемых в соответствии с Федеральным законом «О страховых пенсиях»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</w:t>
      </w:r>
      <w:bookmarkStart w:id="0" w:name="_GoBack"/>
      <w:bookmarkEnd w:id="0"/>
      <w:r w:rsidRPr="00940BF5">
        <w:rPr>
          <w:rFonts w:ascii="Times New Roman" w:hAnsi="Times New Roman" w:cs="Times New Roman"/>
          <w:sz w:val="14"/>
          <w:szCs w:val="14"/>
        </w:rPr>
        <w:t>щих видах работ и установленной величины индивидуального пенсионного коэффициента).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IV. Установление и выплата накопительной пенсии,</w:t>
      </w:r>
      <w:r w:rsidR="008B1BC2" w:rsidRPr="006A084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A084F">
        <w:rPr>
          <w:rFonts w:ascii="Times New Roman" w:hAnsi="Times New Roman" w:cs="Times New Roman"/>
          <w:b/>
          <w:sz w:val="14"/>
          <w:szCs w:val="14"/>
        </w:rPr>
        <w:t>срочной пенсионной выплаты, единовременной выплаты, выплат</w:t>
      </w:r>
      <w:r w:rsidR="008B1BC2" w:rsidRPr="006A084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A084F">
        <w:rPr>
          <w:rFonts w:ascii="Times New Roman" w:hAnsi="Times New Roman" w:cs="Times New Roman"/>
          <w:b/>
          <w:sz w:val="14"/>
          <w:szCs w:val="14"/>
        </w:rPr>
        <w:t>правопреемникам застрахованного лица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4.1. Накопительная пенсия и (или) срочная пенсионная выплата назначаются со дня обращения за ними, но не ранее чем со дня возникновения права на указанные виды выплат за счет средств пенсионных накоплений.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4.2. Назначение застрахованному лицу накопительной пенсии и (или) срочной пенсионной выплаты осуществляется на основании заявления о назначении накопительной пенсии и (или) срочной пенсионной выплаты (далее - заявление), поданного в фонд, а также документов, установленных страховыми правилами фонда, подтверждающих наличие у застрахованного лица пенсионных оснований.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4.3. По результатам рассмотрения заявления застрахованного лица, обратившегося за назначением накопительной пенсии и (или) срочной пенсионной выплаты, фонд производит расчет размеров указанных выплат и выносит решение о назначении накопительной пенсии и (или) срочной пенсионной выплаты или единовременной выплаты в соответствии со страховыми правилами фонда.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4.4. Единовременная выплата не осуществляется, в случае если застрахованному лицу ранее была установлена накопительная пенсия.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4.5. Застрахованное лицо, реализовавшее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4.6.  </w:t>
      </w:r>
      <w:r w:rsidR="00477046" w:rsidRPr="00940BF5">
        <w:rPr>
          <w:rFonts w:ascii="Times New Roman" w:hAnsi="Times New Roman" w:cs="Times New Roman"/>
          <w:sz w:val="14"/>
          <w:szCs w:val="14"/>
        </w:rPr>
        <w:t>В случае смерти</w:t>
      </w:r>
      <w:r w:rsidRPr="00940BF5">
        <w:rPr>
          <w:rFonts w:ascii="Times New Roman" w:hAnsi="Times New Roman" w:cs="Times New Roman"/>
          <w:sz w:val="14"/>
          <w:szCs w:val="14"/>
        </w:rPr>
        <w:t xml:space="preserve"> застрахованного лица выплата средств пенсионных</w:t>
      </w:r>
      <w:r w:rsidR="00477046" w:rsidRPr="00940BF5">
        <w:rPr>
          <w:rFonts w:ascii="Times New Roman" w:hAnsi="Times New Roman" w:cs="Times New Roman"/>
          <w:sz w:val="14"/>
          <w:szCs w:val="14"/>
        </w:rPr>
        <w:t xml:space="preserve"> накоплений, учтенных</w:t>
      </w:r>
      <w:r w:rsidRPr="00940BF5">
        <w:rPr>
          <w:rFonts w:ascii="Times New Roman" w:hAnsi="Times New Roman" w:cs="Times New Roman"/>
          <w:sz w:val="14"/>
          <w:szCs w:val="14"/>
        </w:rPr>
        <w:t xml:space="preserve">   </w:t>
      </w:r>
      <w:r w:rsidR="00477046" w:rsidRPr="00940BF5">
        <w:rPr>
          <w:rFonts w:ascii="Times New Roman" w:hAnsi="Times New Roman" w:cs="Times New Roman"/>
          <w:sz w:val="14"/>
          <w:szCs w:val="14"/>
        </w:rPr>
        <w:t>на его пенсионном счете накопительной пенсии</w:t>
      </w:r>
      <w:r w:rsidRPr="00940BF5">
        <w:rPr>
          <w:rFonts w:ascii="Times New Roman" w:hAnsi="Times New Roman" w:cs="Times New Roman"/>
          <w:sz w:val="14"/>
          <w:szCs w:val="14"/>
        </w:rPr>
        <w:t>,</w:t>
      </w:r>
      <w:r w:rsidR="00477046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>производится его правопреемникам &lt;1&gt;: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_________________________________________</w:t>
      </w:r>
      <w:r w:rsidR="00CA0539" w:rsidRPr="00940BF5">
        <w:rPr>
          <w:rFonts w:ascii="Times New Roman" w:hAnsi="Times New Roman" w:cs="Times New Roman"/>
          <w:sz w:val="14"/>
          <w:szCs w:val="14"/>
        </w:rPr>
        <w:t>______________________________</w:t>
      </w:r>
    </w:p>
    <w:p w:rsidR="0072305D" w:rsidRPr="00940BF5" w:rsidRDefault="00B468D0" w:rsidP="005D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40BF5">
        <w:rPr>
          <w:rFonts w:ascii="Times New Roman" w:hAnsi="Times New Roman" w:cs="Times New Roman"/>
          <w:sz w:val="12"/>
          <w:szCs w:val="12"/>
        </w:rPr>
        <w:t>(указываются следующие сведения о правопреемниках: фамилия, имя, отчество</w:t>
      </w:r>
      <w:r w:rsidR="008B1BC2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(при наличии),</w:t>
      </w:r>
      <w:r w:rsidR="00CA0539" w:rsidRPr="00940BF5">
        <w:rPr>
          <w:rFonts w:ascii="Times New Roman" w:hAnsi="Times New Roman" w:cs="Times New Roman"/>
          <w:sz w:val="12"/>
          <w:szCs w:val="12"/>
        </w:rPr>
        <w:t xml:space="preserve"> дата и </w:t>
      </w:r>
      <w:r w:rsidRPr="00940BF5">
        <w:rPr>
          <w:rFonts w:ascii="Times New Roman" w:hAnsi="Times New Roman" w:cs="Times New Roman"/>
          <w:sz w:val="12"/>
          <w:szCs w:val="12"/>
        </w:rPr>
        <w:t>место рождения, реквизиты документа, удостоверяющего</w:t>
      </w:r>
      <w:r w:rsidR="008B1BC2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лично</w:t>
      </w:r>
      <w:r w:rsidR="00CA0539" w:rsidRPr="00940BF5">
        <w:rPr>
          <w:rFonts w:ascii="Times New Roman" w:hAnsi="Times New Roman" w:cs="Times New Roman"/>
          <w:sz w:val="12"/>
          <w:szCs w:val="12"/>
        </w:rPr>
        <w:t xml:space="preserve">сть, адрес регистрации по месту </w:t>
      </w:r>
      <w:r w:rsidRPr="00940BF5">
        <w:rPr>
          <w:rFonts w:ascii="Times New Roman" w:hAnsi="Times New Roman" w:cs="Times New Roman"/>
          <w:sz w:val="12"/>
          <w:szCs w:val="12"/>
        </w:rPr>
        <w:t>жительства (месту пребывания) и адрес</w:t>
      </w:r>
      <w:r w:rsidR="008E4154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фактического проживания, контактный телефон (при наличии), а также размер</w:t>
      </w:r>
      <w:r w:rsidR="008B1BC2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доли (дробным числом или в процентах), в</w:t>
      </w:r>
      <w:r w:rsidR="00674097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соответствии с которой следует</w:t>
      </w:r>
      <w:r w:rsidR="00CA0539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распределить всю сумму средств пенсионных накоплений между</w:t>
      </w:r>
      <w:r w:rsidR="008B1BC2" w:rsidRPr="00940BF5">
        <w:rPr>
          <w:rFonts w:ascii="Times New Roman" w:hAnsi="Times New Roman" w:cs="Times New Roman"/>
          <w:sz w:val="12"/>
          <w:szCs w:val="12"/>
        </w:rPr>
        <w:t xml:space="preserve"> </w:t>
      </w:r>
      <w:r w:rsidRPr="00940BF5">
        <w:rPr>
          <w:rFonts w:ascii="Times New Roman" w:hAnsi="Times New Roman" w:cs="Times New Roman"/>
          <w:sz w:val="12"/>
          <w:szCs w:val="12"/>
        </w:rPr>
        <w:t>правопреемниками)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4.7. Застрахованное лицо вправе в любое время определить или изменить перечень лиц, которым в случае его смерти может быть произведена выплата средств пенсионных накоплений, путем подачи заявления о распределении средств пенсионных накоплений. Указанное заявление является неотъемлемой частью настоящего договора.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4.8. Выплата средств пенсионных накоплений правопреемникам осуществляется в соответствии со </w:t>
      </w:r>
      <w:hyperlink r:id="rId22" w:history="1">
        <w:r w:rsidRPr="00940BF5">
          <w:rPr>
            <w:rFonts w:ascii="Times New Roman" w:hAnsi="Times New Roman" w:cs="Times New Roman"/>
            <w:sz w:val="14"/>
            <w:szCs w:val="14"/>
          </w:rPr>
          <w:t>статьей 36.21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Федерального закона "О негосударственных пенсионных фондах" и </w:t>
      </w:r>
      <w:hyperlink r:id="rId23" w:history="1">
        <w:r w:rsidRPr="00940BF5">
          <w:rPr>
            <w:rFonts w:ascii="Times New Roman" w:hAnsi="Times New Roman" w:cs="Times New Roman"/>
            <w:sz w:val="14"/>
            <w:szCs w:val="14"/>
          </w:rPr>
          <w:t>постановлением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Правительства Российской Федерации от 30 июля 2014 года N 710 "Об утверждении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пенсии" (Собрание законодательства Российской Федерации, 2014, N 32, ст. 4483; 2015, N 6, ст. 975), а также страховыми правилами фонда.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V. Доставка накопительной пенсии, срочной пенсионной</w:t>
      </w:r>
      <w:r w:rsidR="008B1BC2" w:rsidRPr="006A084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A084F">
        <w:rPr>
          <w:rFonts w:ascii="Times New Roman" w:hAnsi="Times New Roman" w:cs="Times New Roman"/>
          <w:b/>
          <w:sz w:val="14"/>
          <w:szCs w:val="14"/>
        </w:rPr>
        <w:t>выплаты, единовременной выплаты и порядок оплаты расходов,</w:t>
      </w:r>
      <w:r w:rsidR="008B1BC2" w:rsidRPr="006A084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A084F">
        <w:rPr>
          <w:rFonts w:ascii="Times New Roman" w:hAnsi="Times New Roman" w:cs="Times New Roman"/>
          <w:b/>
          <w:sz w:val="14"/>
          <w:szCs w:val="14"/>
        </w:rPr>
        <w:t>связанных с доставкой</w:t>
      </w:r>
      <w:r w:rsidR="008B1BC2" w:rsidRPr="006A084F">
        <w:rPr>
          <w:rFonts w:ascii="Times New Roman" w:hAnsi="Times New Roman" w:cs="Times New Roman"/>
          <w:b/>
          <w:sz w:val="14"/>
          <w:szCs w:val="14"/>
        </w:rPr>
        <w:t>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5.1. Доставка накопительной пенсии и (или) срочной пенсионной выплаты или единовременной выплаты по выбору застрахованного лица осуществляется одним из следующих способов:</w:t>
      </w:r>
    </w:p>
    <w:p w:rsidR="00BB01D2" w:rsidRPr="00940BF5" w:rsidRDefault="00BB01D2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а) через организацию почтовой связи;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б) через кредитную организацию путем зачисления сумм накопительной пенсии и (или) срочной пенсионной выплаты или единовременной выплаты на счет застрахованного лица в этой кредитной организации;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5.2. Доставка накопительной пенсии и (или) срочной пенсионной выплаты производится за текущий месяц.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Единовременная выплата производится фондом в срок, не превышающий одного месяца со дня принятия решения об осуществлении единовременной выплаты.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5.3. Оплата расходов, связанных с доставкой накопительной пенсии, производится за счет средств резерва фонда по обязательному пенсионному страхованию.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Оплата расходов, связанных с осуществлением срочной пенсионной выплаты, единовременной выплаты, производится за счет собственных средств фонда.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VI. Ответственность сторон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6.1. 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5D02A1" w:rsidRPr="00940BF5" w:rsidRDefault="005D02A1" w:rsidP="005D0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940BF5">
        <w:rPr>
          <w:rFonts w:ascii="Times New Roman" w:hAnsi="Times New Roman" w:cs="Times New Roman"/>
          <w:sz w:val="12"/>
          <w:szCs w:val="12"/>
        </w:rPr>
        <w:t>&lt;1&gt; Пункт заполняется по решению застрахованного лица.</w:t>
      </w:r>
    </w:p>
    <w:p w:rsidR="00940BF5" w:rsidRPr="00940BF5" w:rsidRDefault="00940BF5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VII. Изменение и прекращение договора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7.1. Внесение в настоящий договор и приложения к нему изменений в связи с изменениями законодательства Российской Федерации о негосударственных пенсионных фондах, о накопительной пенсии и об инвестировании средств пенсионных накоплений для финансирования накопительной пенсии (далее - изменения пенсионного законодательства Российской Федерации) осуществляется фондом в одностороннем порядке путем направления застрахованному лицу уведомления о внесении в договор и приложения к нему изменений в связи с изменениями пенсионного законодательства Российской Федерации (далее - уведомление) в течение одного месяца со дня вступления в силу изменений пенсионного законодательства Российской Федерации.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Уведомление направляется застрахованному лицу по электронной почте, а также в "Личный кабинет застрахованного лица" на официальном сайте фонда в информационно-телекоммуникационной сети "Интернет", электронный адрес которого включает доменное имя, права на которое принадлежат фонду.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В течение десяти дней со дня вступления в силу изменений пенсионного законодательства Российской Федерации фонд размещает на своем официальном сайте в информационно-телекоммуникационной сети "Интернет" информацию об изменениях пенсионного законодательства Российской Федерации.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Внесенные в настоящий договор изменения вступают в силу для сторон со дня вступления в силу изменений пенсионного законодательства Российской Федерации.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7.2. Фонд не вправе в одностороннем порядке расторгнуть настоящий договор.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7.3. Настоящий договор прекращается в случае наступления одного из следующих событий в зависимости от того, какое из них наступило ранее: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а) внесение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б) внесение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в) аннулирование у фонда лицензии на осуществление деятельности по пенсионному обеспечению и пенсионному страхованию;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г) смерть застрахованного лица;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д) признание судом настоящего договора недействительным;</w:t>
      </w:r>
    </w:p>
    <w:p w:rsidR="0072305D" w:rsidRPr="00940BF5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е) принятие арбитражным судом решения о признании фонда банкротом и об открытии конкурсного производства;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ж) введение Банком России запрета на осуществление операций фонда по обязательному пенсионному страхованию в соответствии со </w:t>
      </w:r>
      <w:hyperlink r:id="rId24" w:history="1">
        <w:r w:rsidRPr="00940BF5">
          <w:rPr>
            <w:rFonts w:ascii="Times New Roman" w:hAnsi="Times New Roman" w:cs="Times New Roman"/>
            <w:sz w:val="14"/>
            <w:szCs w:val="14"/>
          </w:rPr>
          <w:t>статьей 22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Федерального закона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VIII. Порядок урегулирования споров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8.1. Споры, связанные с исполнением настоящего договора, разрешаются в судебном порядке в соответствии с законодательством Российской Федерации.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IX. Срок действия договора</w:t>
      </w:r>
    </w:p>
    <w:p w:rsidR="00675C09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 xml:space="preserve">9.1. Настоящий договор вступает в силу </w:t>
      </w:r>
      <w:r w:rsidR="00675C09" w:rsidRPr="00940BF5">
        <w:rPr>
          <w:rFonts w:ascii="Times New Roman" w:hAnsi="Times New Roman" w:cs="Times New Roman"/>
          <w:sz w:val="14"/>
          <w:szCs w:val="14"/>
        </w:rPr>
        <w:t>со дня зачисления перечисленных предыдущим страховщиком средств пенсионных накоплений на расчетный счет фонда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9.2. Настоящий договор заключен на неопределенный срок.</w:t>
      </w:r>
    </w:p>
    <w:p w:rsidR="0072305D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X. Заключительные положения</w:t>
      </w:r>
    </w:p>
    <w:p w:rsidR="0072305D" w:rsidRPr="00940BF5" w:rsidRDefault="00B468D0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10.1.  Со  страховыми  правилами  фонда,  а также правилами определения</w:t>
      </w:r>
      <w:r w:rsidR="00E81F0F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>размера  средств  пенсионных  накоплений,  подлежащих  передаче  в фонд при</w:t>
      </w:r>
      <w:r w:rsidR="00E81F0F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>переходе  (досрочном  переходе)  застрахованного лица в фонд из Пенсионного</w:t>
      </w:r>
      <w:r w:rsidR="00E81F0F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>фонда  Российской  Федерации  или из другого негосударственного пенсионного</w:t>
      </w:r>
      <w:r w:rsidR="00E81F0F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 xml:space="preserve">фонда,   в   соответствии   со   </w:t>
      </w:r>
      <w:hyperlink r:id="rId25" w:history="1">
        <w:r w:rsidRPr="00940BF5">
          <w:rPr>
            <w:rFonts w:ascii="Times New Roman" w:hAnsi="Times New Roman" w:cs="Times New Roman"/>
            <w:sz w:val="14"/>
            <w:szCs w:val="14"/>
          </w:rPr>
          <w:t>статьей   36.6-1</w:t>
        </w:r>
      </w:hyperlink>
      <w:r w:rsidRPr="00940BF5">
        <w:rPr>
          <w:rFonts w:ascii="Times New Roman" w:hAnsi="Times New Roman" w:cs="Times New Roman"/>
          <w:sz w:val="14"/>
          <w:szCs w:val="14"/>
        </w:rPr>
        <w:t xml:space="preserve">  Федерального  закона  "О</w:t>
      </w:r>
      <w:r w:rsidR="00E81F0F" w:rsidRPr="00940BF5">
        <w:rPr>
          <w:rFonts w:ascii="Times New Roman" w:hAnsi="Times New Roman" w:cs="Times New Roman"/>
          <w:sz w:val="14"/>
          <w:szCs w:val="14"/>
        </w:rPr>
        <w:t xml:space="preserve"> </w:t>
      </w:r>
      <w:r w:rsidRPr="00940BF5">
        <w:rPr>
          <w:rFonts w:ascii="Times New Roman" w:hAnsi="Times New Roman" w:cs="Times New Roman"/>
          <w:sz w:val="14"/>
          <w:szCs w:val="14"/>
        </w:rPr>
        <w:t>негосударственных   пенсионных  фондах"  застрахованное  лицо  ознакомлено:</w:t>
      </w:r>
    </w:p>
    <w:p w:rsidR="00EC517A" w:rsidRPr="00940BF5" w:rsidRDefault="00EC517A" w:rsidP="00CA053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CA0539" w:rsidRPr="00940BF5" w:rsidRDefault="00CA0539" w:rsidP="00CA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b/>
          <w:sz w:val="14"/>
          <w:szCs w:val="14"/>
          <w:u w:val="single"/>
        </w:rPr>
        <w:tab/>
      </w:r>
      <w:r w:rsidRPr="00940BF5">
        <w:rPr>
          <w:rFonts w:ascii="Times New Roman" w:hAnsi="Times New Roman" w:cs="Times New Roman"/>
          <w:b/>
          <w:sz w:val="14"/>
          <w:szCs w:val="14"/>
          <w:u w:val="single"/>
        </w:rPr>
        <w:tab/>
        <w:t xml:space="preserve">                                _____________________</w:t>
      </w:r>
      <w:r w:rsidRPr="00940BF5">
        <w:rPr>
          <w:rFonts w:ascii="Times New Roman" w:hAnsi="Times New Roman" w:cs="Times New Roman"/>
          <w:sz w:val="14"/>
          <w:szCs w:val="14"/>
        </w:rPr>
        <w:t>V</w:t>
      </w:r>
      <w:r w:rsidRPr="00940BF5">
        <w:rPr>
          <w:rFonts w:ascii="Times New Roman" w:hAnsi="Times New Roman" w:cs="Times New Roman"/>
          <w:b/>
          <w:sz w:val="14"/>
          <w:szCs w:val="14"/>
          <w:u w:val="single"/>
        </w:rPr>
        <w:t xml:space="preserve">     </w:t>
      </w:r>
      <w:r w:rsidRPr="00940BF5">
        <w:rPr>
          <w:rFonts w:ascii="Times New Roman" w:hAnsi="Times New Roman" w:cs="Times New Roman"/>
          <w:b/>
          <w:sz w:val="14"/>
          <w:szCs w:val="14"/>
        </w:rPr>
        <w:t xml:space="preserve">                      </w:t>
      </w:r>
      <w:proofErr w:type="gramStart"/>
      <w:r w:rsidRPr="00940BF5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940BF5">
        <w:rPr>
          <w:rFonts w:ascii="Times New Roman" w:hAnsi="Times New Roman" w:cs="Times New Roman"/>
          <w:sz w:val="12"/>
          <w:szCs w:val="12"/>
        </w:rPr>
        <w:t>(</w:t>
      </w:r>
      <w:proofErr w:type="gramEnd"/>
      <w:r w:rsidRPr="00940BF5">
        <w:rPr>
          <w:rFonts w:ascii="Times New Roman" w:hAnsi="Times New Roman" w:cs="Times New Roman"/>
          <w:sz w:val="12"/>
          <w:szCs w:val="12"/>
        </w:rPr>
        <w:t xml:space="preserve">Ф.И.О. застрахованного лица)                            </w:t>
      </w:r>
      <w:r w:rsidR="00EC517A" w:rsidRPr="00940BF5">
        <w:rPr>
          <w:rFonts w:ascii="Times New Roman" w:hAnsi="Times New Roman" w:cs="Times New Roman"/>
          <w:sz w:val="12"/>
          <w:szCs w:val="12"/>
        </w:rPr>
        <w:t xml:space="preserve">     </w:t>
      </w:r>
      <w:r w:rsidRPr="00940BF5">
        <w:rPr>
          <w:rFonts w:ascii="Times New Roman" w:hAnsi="Times New Roman" w:cs="Times New Roman"/>
          <w:sz w:val="14"/>
          <w:szCs w:val="14"/>
        </w:rPr>
        <w:t xml:space="preserve"> (подпись застрахованного лица)</w:t>
      </w:r>
    </w:p>
    <w:p w:rsidR="00C4508F" w:rsidRPr="006A084F" w:rsidRDefault="00B468D0" w:rsidP="006A084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A084F">
        <w:rPr>
          <w:rFonts w:ascii="Times New Roman" w:hAnsi="Times New Roman" w:cs="Times New Roman"/>
          <w:b/>
          <w:sz w:val="14"/>
          <w:szCs w:val="14"/>
        </w:rPr>
        <w:t>XI. Реквизиты и подписи сторон</w:t>
      </w:r>
      <w:r w:rsidR="00666CCF" w:rsidRPr="006A084F">
        <w:rPr>
          <w:rFonts w:ascii="Times New Roman" w:hAnsi="Times New Roman" w:cs="Times New Roman"/>
          <w:b/>
          <w:sz w:val="14"/>
          <w:szCs w:val="14"/>
        </w:rPr>
        <w:t>: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Негосударственный пенсионный фонд: Акционерное общество "Негосударственный пенсионный фонд "Гефест" (АО «НПФ «Гефест»)</w:t>
      </w:r>
    </w:p>
    <w:p w:rsidR="005D02A1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ИНН 7705519077, ОГРН 1157700001964, </w:t>
      </w:r>
    </w:p>
    <w:p w:rsidR="005D02A1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Адрес: 115184, г. Москва, </w:t>
      </w:r>
      <w:proofErr w:type="spell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Озерковская</w:t>
      </w:r>
      <w:proofErr w:type="spell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набережная, д.28, строение 1. 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Тел: (495) 730-05-97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р/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с  40701810838000000924</w:t>
      </w:r>
      <w:proofErr w:type="gram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, к/с   30101810400000000225 в ПАО «Сбе</w:t>
      </w:r>
      <w:r w:rsidR="005D02A1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рбанк России» г. Москва БИК </w:t>
      </w: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044525225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Застрахованное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лицо:_</w:t>
      </w:r>
      <w:proofErr w:type="gram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940BF5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         (Ф.И.О. застрахованного лица)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Пол:_</w:t>
      </w:r>
      <w:proofErr w:type="gram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___________ Дата </w:t>
      </w:r>
      <w:proofErr w:type="spell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рождения: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</w:t>
      </w:r>
      <w:r w:rsidR="00CA0539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СНИЛС</w:t>
      </w:r>
      <w:proofErr w:type="spellEnd"/>
      <w:r w:rsidR="00CA0539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: 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</w:t>
      </w:r>
    </w:p>
    <w:p w:rsidR="00C4508F" w:rsidRPr="00940BF5" w:rsidRDefault="00EC517A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Место </w:t>
      </w:r>
      <w:proofErr w:type="gramStart"/>
      <w:r w:rsidR="00C4508F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рождения:_</w:t>
      </w:r>
      <w:proofErr w:type="gramEnd"/>
      <w:r w:rsidR="00C4508F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______________________________________</w:t>
      </w: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Паспорт 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серия: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</w:t>
      </w:r>
      <w:proofErr w:type="gramEnd"/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</w:t>
      </w: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номер:____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Дата и место 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выдачи:_</w:t>
      </w:r>
      <w:proofErr w:type="gram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Адрес регистрации по месту жительства (месту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пребывания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):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</w:t>
      </w:r>
      <w:proofErr w:type="gramEnd"/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</w:t>
      </w: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Адрес фактического 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проживания:_</w:t>
      </w:r>
      <w:proofErr w:type="gram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________________________________</w:t>
      </w:r>
    </w:p>
    <w:p w:rsidR="00C4508F" w:rsidRPr="00940BF5" w:rsidRDefault="00C4508F" w:rsidP="00C45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Контактный </w:t>
      </w:r>
      <w:proofErr w:type="gram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телефон: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</w:t>
      </w:r>
      <w:proofErr w:type="gramEnd"/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</w:t>
      </w:r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E-</w:t>
      </w:r>
      <w:proofErr w:type="spellStart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mail</w:t>
      </w:r>
      <w:proofErr w:type="spellEnd"/>
      <w:r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(при наличии):</w:t>
      </w:r>
      <w:r w:rsidR="00EC517A" w:rsidRPr="00940BF5">
        <w:rPr>
          <w:rFonts w:ascii="Times New Roman" w:eastAsia="Times New Roman" w:hAnsi="Times New Roman" w:cs="Times New Roman"/>
          <w:color w:val="000000"/>
          <w:sz w:val="14"/>
          <w:szCs w:val="14"/>
        </w:rPr>
        <w:t>__________________</w:t>
      </w:r>
    </w:p>
    <w:p w:rsidR="00940BF5" w:rsidRPr="00940BF5" w:rsidRDefault="00940BF5" w:rsidP="00C4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4"/>
          <w:szCs w:val="14"/>
        </w:rPr>
      </w:pPr>
    </w:p>
    <w:p w:rsidR="0072305D" w:rsidRPr="00940BF5" w:rsidRDefault="00C4508F" w:rsidP="00C4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4"/>
          <w:szCs w:val="14"/>
        </w:rPr>
      </w:pPr>
      <w:r w:rsidRPr="00940BF5">
        <w:rPr>
          <w:rFonts w:ascii="Times New Roman" w:hAnsi="Times New Roman" w:cs="Times New Roman"/>
          <w:bCs/>
          <w:color w:val="000000"/>
          <w:sz w:val="14"/>
          <w:szCs w:val="14"/>
        </w:rPr>
        <w:t>Подписи сторон:</w:t>
      </w:r>
    </w:p>
    <w:p w:rsidR="00C4508F" w:rsidRPr="00940BF5" w:rsidRDefault="005D02A1" w:rsidP="00C45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Президент АО «НПФ «Гефест»</w:t>
      </w:r>
    </w:p>
    <w:p w:rsidR="00C4508F" w:rsidRPr="00940BF5" w:rsidRDefault="005D02A1" w:rsidP="00C45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Масюк Ирина Борисовна</w:t>
      </w:r>
      <w:r w:rsidR="00C4508F" w:rsidRPr="00940BF5">
        <w:rPr>
          <w:rFonts w:ascii="Times New Roman" w:hAnsi="Times New Roman" w:cs="Times New Roman"/>
          <w:sz w:val="14"/>
          <w:szCs w:val="14"/>
        </w:rPr>
        <w:tab/>
      </w:r>
      <w:r w:rsidR="00C4508F" w:rsidRPr="00940BF5">
        <w:rPr>
          <w:rFonts w:ascii="Times New Roman" w:hAnsi="Times New Roman" w:cs="Times New Roman"/>
          <w:sz w:val="14"/>
          <w:szCs w:val="14"/>
        </w:rPr>
        <w:tab/>
        <w:t xml:space="preserve">           Застрахованное лицо</w:t>
      </w:r>
    </w:p>
    <w:p w:rsidR="00C4508F" w:rsidRPr="00940BF5" w:rsidRDefault="00C4508F" w:rsidP="00C45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ab/>
      </w:r>
      <w:r w:rsidRPr="00940BF5">
        <w:rPr>
          <w:rFonts w:ascii="Times New Roman" w:hAnsi="Times New Roman" w:cs="Times New Roman"/>
          <w:sz w:val="14"/>
          <w:szCs w:val="14"/>
        </w:rPr>
        <w:tab/>
      </w:r>
    </w:p>
    <w:p w:rsidR="00C4508F" w:rsidRPr="00940BF5" w:rsidRDefault="00C4508F" w:rsidP="00C45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40BF5">
        <w:rPr>
          <w:rFonts w:ascii="Times New Roman" w:hAnsi="Times New Roman" w:cs="Times New Roman"/>
          <w:sz w:val="14"/>
          <w:szCs w:val="14"/>
          <w:u w:val="single"/>
        </w:rPr>
        <w:tab/>
      </w:r>
      <w:r w:rsidRPr="00940BF5">
        <w:rPr>
          <w:rFonts w:ascii="Times New Roman" w:hAnsi="Times New Roman" w:cs="Times New Roman"/>
          <w:b/>
          <w:sz w:val="14"/>
          <w:szCs w:val="14"/>
          <w:u w:val="single"/>
        </w:rPr>
        <w:t xml:space="preserve">                                _____________________</w:t>
      </w:r>
      <w:r w:rsidRPr="00940BF5">
        <w:rPr>
          <w:rFonts w:ascii="Times New Roman" w:hAnsi="Times New Roman" w:cs="Times New Roman"/>
          <w:sz w:val="14"/>
          <w:szCs w:val="14"/>
        </w:rPr>
        <w:t>V</w:t>
      </w:r>
      <w:r w:rsidRPr="00940BF5">
        <w:rPr>
          <w:rFonts w:ascii="Times New Roman" w:hAnsi="Times New Roman" w:cs="Times New Roman"/>
          <w:sz w:val="14"/>
          <w:szCs w:val="14"/>
          <w:u w:val="single"/>
        </w:rPr>
        <w:t xml:space="preserve">     </w:t>
      </w:r>
      <w:r w:rsidRPr="00940BF5">
        <w:rPr>
          <w:rFonts w:ascii="Times New Roman" w:hAnsi="Times New Roman" w:cs="Times New Roman"/>
          <w:sz w:val="14"/>
          <w:szCs w:val="14"/>
        </w:rPr>
        <w:t xml:space="preserve">                         </w:t>
      </w:r>
    </w:p>
    <w:p w:rsidR="0072305D" w:rsidRPr="00940BF5" w:rsidRDefault="00C4508F" w:rsidP="009E0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40BF5">
        <w:rPr>
          <w:rFonts w:ascii="Times New Roman" w:hAnsi="Times New Roman" w:cs="Times New Roman"/>
          <w:sz w:val="14"/>
          <w:szCs w:val="14"/>
        </w:rPr>
        <w:t>М.П.</w:t>
      </w:r>
      <w:r w:rsidRPr="00940BF5">
        <w:rPr>
          <w:rFonts w:ascii="Times New Roman" w:hAnsi="Times New Roman" w:cs="Times New Roman"/>
          <w:sz w:val="14"/>
          <w:szCs w:val="14"/>
        </w:rPr>
        <w:tab/>
        <w:t>(подпись)</w:t>
      </w:r>
      <w:r w:rsidRPr="00940BF5">
        <w:rPr>
          <w:rFonts w:ascii="Times New Roman" w:hAnsi="Times New Roman" w:cs="Times New Roman"/>
          <w:sz w:val="14"/>
          <w:szCs w:val="14"/>
        </w:rPr>
        <w:tab/>
      </w:r>
      <w:r w:rsidRPr="00940BF5">
        <w:rPr>
          <w:rFonts w:ascii="Times New Roman" w:hAnsi="Times New Roman" w:cs="Times New Roman"/>
          <w:sz w:val="14"/>
          <w:szCs w:val="14"/>
        </w:rPr>
        <w:tab/>
        <w:t xml:space="preserve">              </w:t>
      </w:r>
      <w:proofErr w:type="gramStart"/>
      <w:r w:rsidRPr="00940BF5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 w:rsidRPr="00940BF5">
        <w:rPr>
          <w:rFonts w:ascii="Times New Roman" w:hAnsi="Times New Roman" w:cs="Times New Roman"/>
          <w:sz w:val="14"/>
          <w:szCs w:val="14"/>
        </w:rPr>
        <w:t>подпись застрахованного лица)</w:t>
      </w:r>
    </w:p>
    <w:p w:rsidR="00CA0539" w:rsidRPr="00CA0539" w:rsidRDefault="00CA0539" w:rsidP="00CA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40BF5"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5D02A1" w:rsidRPr="00CA0539" w:rsidRDefault="005D0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sectPr w:rsidR="005D02A1" w:rsidRPr="00CA0539" w:rsidSect="00477046">
      <w:pgSz w:w="12240" w:h="15840"/>
      <w:pgMar w:top="567" w:right="567" w:bottom="567" w:left="567" w:header="720" w:footer="720" w:gutter="0"/>
      <w:cols w:num="2"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DA"/>
    <w:rsid w:val="00005717"/>
    <w:rsid w:val="00014F11"/>
    <w:rsid w:val="001218D2"/>
    <w:rsid w:val="00172E26"/>
    <w:rsid w:val="00203032"/>
    <w:rsid w:val="00275CB4"/>
    <w:rsid w:val="002D2891"/>
    <w:rsid w:val="003C293C"/>
    <w:rsid w:val="0044177F"/>
    <w:rsid w:val="00477046"/>
    <w:rsid w:val="004B00CC"/>
    <w:rsid w:val="004E6D3B"/>
    <w:rsid w:val="0053401A"/>
    <w:rsid w:val="005711E6"/>
    <w:rsid w:val="005D02A1"/>
    <w:rsid w:val="00666CCF"/>
    <w:rsid w:val="00674097"/>
    <w:rsid w:val="00675C09"/>
    <w:rsid w:val="006A084F"/>
    <w:rsid w:val="006C77E1"/>
    <w:rsid w:val="00717B85"/>
    <w:rsid w:val="007206DA"/>
    <w:rsid w:val="0072305D"/>
    <w:rsid w:val="007F25DA"/>
    <w:rsid w:val="008B1BC2"/>
    <w:rsid w:val="008E4154"/>
    <w:rsid w:val="00940BF5"/>
    <w:rsid w:val="00957D78"/>
    <w:rsid w:val="009874A9"/>
    <w:rsid w:val="009964FC"/>
    <w:rsid w:val="009E07C4"/>
    <w:rsid w:val="00A27B66"/>
    <w:rsid w:val="00AE4CBB"/>
    <w:rsid w:val="00B468D0"/>
    <w:rsid w:val="00BB01D2"/>
    <w:rsid w:val="00BF3E8B"/>
    <w:rsid w:val="00C00345"/>
    <w:rsid w:val="00C4508F"/>
    <w:rsid w:val="00C703CC"/>
    <w:rsid w:val="00C9674F"/>
    <w:rsid w:val="00CA0539"/>
    <w:rsid w:val="00CE0F0C"/>
    <w:rsid w:val="00D16FD8"/>
    <w:rsid w:val="00D9208A"/>
    <w:rsid w:val="00DD485C"/>
    <w:rsid w:val="00E15601"/>
    <w:rsid w:val="00E80E61"/>
    <w:rsid w:val="00E81F0F"/>
    <w:rsid w:val="00EC517A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D7A2FF-1377-4560-BA98-654A29F7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00868319E1BB49F3D44FD2308D4787F525FD6564B5BC51FC355456C5A7D221AE6316AB4FoEK%20" TargetMode="External"/><Relationship Id="rId13" Type="http://schemas.openxmlformats.org/officeDocument/2006/relationships/hyperlink" Target="consultantplus://offline/ref=942F8E95C2D05889D09300868319E1BB49F0D54FD1388D4787F525FD6564B5BC51FC355456C5A7D221AE6316AB4FoEK%20" TargetMode="External"/><Relationship Id="rId18" Type="http://schemas.openxmlformats.org/officeDocument/2006/relationships/hyperlink" Target="consultantplus://offline/ref=942F8E95C2D05889D09300868319E1BB49F0D54FD1388D4787F525FD6564B5BC51FC355456C5A7D221AE6316AB4FoEK%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Documents\!&#1056;&#1072;&#1073;&#1086;&#1090;&#1072;\&#1054;&#1073;&#1084;&#1077;&#1085;\&#1041;&#1083;&#1072;&#1085;&#1082;&#1080;\&#1041;&#1083;&#1072;&#1085;&#1082;%20&#1054;&#1055;&#1057;%20&#1089;%2001.01.2020\l%20Par106" TargetMode="External"/><Relationship Id="rId7" Type="http://schemas.openxmlformats.org/officeDocument/2006/relationships/hyperlink" Target="consultantplus://offline/ref=942F8E95C2D05889D09300868319E1BB49F3D44FD2328D4787F525FD6564B5BC51FC355456C5A7D221AE6316AB4FoEK%20" TargetMode="External"/><Relationship Id="rId12" Type="http://schemas.openxmlformats.org/officeDocument/2006/relationships/hyperlink" Target="consultantplus://offline/ref=942F8E95C2D05889D09300868319E1BB49F0D94BD4358D4787F525FD6564B5BC51FC355456C5A7D221AE6316AB4FoEK%20" TargetMode="External"/><Relationship Id="rId17" Type="http://schemas.openxmlformats.org/officeDocument/2006/relationships/hyperlink" Target="consultantplus://offline/ref=942F8E95C2D05889D09300868319E1BB49F3D44FD2328D4787F525FD6564B5BC51FC355456C5A7D221AE6316AB4FoEK%20" TargetMode="External"/><Relationship Id="rId25" Type="http://schemas.openxmlformats.org/officeDocument/2006/relationships/hyperlink" Target="consultantplus://offline/ref=942F8E95C2D05889D09300868319E1BB49F0D54FD1388D4787F525FD6564B5BC43FC6D5851C0BED974E12543A4FF975071538ACE839440o2K%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F8E95C2D05889D09300868319E1BB49F0D54FD1388D4787F525FD6564B5BC51FC355456C5A7D221AE6316AB4FoEK%20" TargetMode="External"/><Relationship Id="rId20" Type="http://schemas.openxmlformats.org/officeDocument/2006/relationships/hyperlink" Target="file:///C:\Documents\!&#1056;&#1072;&#1073;&#1086;&#1090;&#1072;\&#1054;&#1073;&#1084;&#1077;&#1085;\&#1041;&#1083;&#1072;&#1085;&#1082;&#1080;\&#1041;&#1083;&#1072;&#1085;&#1082;%20&#1054;&#1055;&#1057;%20&#1089;%2001.01.2020\l%20Par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2F8E95C2D05889D09300868319E1BB49F0D54FD1388D4787F525FD6564B5BC51FC355456C5A7D221AE6316AB4FoEK%20" TargetMode="External"/><Relationship Id="rId11" Type="http://schemas.openxmlformats.org/officeDocument/2006/relationships/hyperlink" Target="consultantplus://offline/ref=942F8E95C2D05889D09300868319E1BB49F0D54FD1388D4787F525FD6564B5BC51FC355456C5A7D221AE6316AB4FoEK%20" TargetMode="External"/><Relationship Id="rId24" Type="http://schemas.openxmlformats.org/officeDocument/2006/relationships/hyperlink" Target="consultantplus://offline/ref=942F8E95C2D05889D09300868319E1BB49F0D94BD4358D4787F525FD6564B5BC43FC6D5857C0BBD524BB3547EDAB9F4F744C94CD9D9402BC42o2K%20" TargetMode="External"/><Relationship Id="rId5" Type="http://schemas.openxmlformats.org/officeDocument/2006/relationships/hyperlink" Target="consultantplus://offline/ref=942F8E95C2D05889D09300868319E1BB49F0D54FD1388D4787F525FD6564B5BC51FC355456C5A7D221AE6316AB4FoEK%20" TargetMode="External"/><Relationship Id="rId15" Type="http://schemas.openxmlformats.org/officeDocument/2006/relationships/hyperlink" Target="consultantplus://offline/ref=942F8E95C2D05889D09300868319E1BB49F3D44FD2308D4787F525FD6564B5BC51FC355456C5A7D221AE6316AB4FoEK%20" TargetMode="External"/><Relationship Id="rId23" Type="http://schemas.openxmlformats.org/officeDocument/2006/relationships/hyperlink" Target="consultantplus://offline/ref=942F8E95C2D05889D09300868319E1BB4BF4D94DD4348D4787F525FD6564B5BC51FC355456C5A7D221AE6316AB4FoEK%20" TargetMode="External"/><Relationship Id="rId10" Type="http://schemas.openxmlformats.org/officeDocument/2006/relationships/hyperlink" Target="consultantplus://offline/ref=942F8E95C2D05889D09300868319E1BB49F0D94BD4358D4787F525FD6564B5BC51FC355456C5A7D221AE6316AB4FoEK%20" TargetMode="External"/><Relationship Id="rId19" Type="http://schemas.openxmlformats.org/officeDocument/2006/relationships/hyperlink" Target="consultantplus://offline/ref=942F8E95C2D05889D09300868319E1BB49F0D54FD1388D4787F525FD6564B5BC43FC6D5857C1BBD023BB3547EDAB9F4F744C94CD9D9402BC42o2K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F8E95C2D05889D09300868319E1BB49F3D44FD2308D4787F525FD6564B5BC51FC355456C5A7D221AE6316AB4FoEK%20" TargetMode="External"/><Relationship Id="rId14" Type="http://schemas.openxmlformats.org/officeDocument/2006/relationships/hyperlink" Target="consultantplus://offline/ref=942F8E95C2D05889D09300868319E1BB49F3D44FD2328D4787F525FD6564B5BC51FC355456C5A7D221AE6316AB4FoEK%20" TargetMode="External"/><Relationship Id="rId22" Type="http://schemas.openxmlformats.org/officeDocument/2006/relationships/hyperlink" Target="consultantplus://offline/ref=942F8E95C2D05889D09300868319E1BB49F0D54FD1388D4787F525FD6564B5BC43FC6D5855C9B28671F4341BA8FB8C4E704C96CC8149o6K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9277-4B03-4428-80B7-14B8098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3892</Words>
  <Characters>22188</Characters>
  <Application>Microsoft Office Word</Application>
  <DocSecurity>4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М.А.</cp:lastModifiedBy>
  <cp:revision>2</cp:revision>
  <cp:lastPrinted>2020-02-14T09:31:00Z</cp:lastPrinted>
  <dcterms:created xsi:type="dcterms:W3CDTF">2020-02-14T11:18:00Z</dcterms:created>
  <dcterms:modified xsi:type="dcterms:W3CDTF">2020-02-14T11:18:00Z</dcterms:modified>
</cp:coreProperties>
</file>